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widowControl w:val="0"/>
        <w:spacing w:lineRule="auto" w:line="240" w:before="240" w:after="0" w:beforeAutospacing="0" w:afterAutospacing="0"/>
        <w:jc w:val="center"/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val="en-US" w:eastAsia="ru-RU"/>
        </w:rPr>
      </w:pP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>ПРОТОКОЛ ЗАГАЛЬНИХ ЗБОРІВ АКЦІОНЕРІВ</w:t>
      </w: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val="en-US" w:eastAsia="ru-RU"/>
        </w:rPr>
        <w:t xml:space="preserve"> </w:t>
      </w:r>
    </w:p>
    <w:p>
      <w:pPr>
        <w:widowControl w:val="0"/>
        <w:spacing w:lineRule="auto" w:line="240" w:before="240" w:after="0" w:beforeAutospacing="0" w:afterAutospacing="0"/>
        <w:jc w:val="center"/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 xml:space="preserve">Позачергові </w:t>
      </w:r>
      <w:r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uk-UA"/>
        </w:rPr>
        <w:t>загальні збори акціонерів</w:t>
      </w: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 xml:space="preserve">  (далі – Загальні збори) </w:t>
      </w:r>
    </w:p>
    <w:p>
      <w:pPr>
        <w:widowControl w:val="0"/>
        <w:spacing w:lineRule="auto" w:line="240" w:before="240" w:after="0" w:beforeAutospacing="0" w:afterAutospacing="0"/>
        <w:jc w:val="center"/>
        <w:rPr>
          <w:rFonts w:ascii="Times New Roman CYR" w:hAnsi="Times New Roman CYR" w:cs="Times New Roman CYR" w:eastAsia="Times New Roman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="Times New Roman"/>
          <w:b w:val="1"/>
          <w:bCs w:val="1"/>
          <w:sz w:val="24"/>
          <w:szCs w:val="24"/>
          <w:lang w:eastAsia="ru-RU"/>
        </w:rPr>
        <w:t xml:space="preserve">ПРИВАТНЕ АКЦІОНЕРНЕ ТОВАРИСТВО "ОДЕСЬКА КІНОСТУДІЯ" </w:t>
      </w:r>
      <w:r>
        <w:rPr>
          <w:rFonts w:ascii="Times New Roman CYR" w:hAnsi="Times New Roman CYR" w:cs="Times New Roman CYR" w:eastAsia="Times New Roman"/>
          <w:sz w:val="24"/>
          <w:szCs w:val="24"/>
          <w:lang w:eastAsia="ru-RU"/>
        </w:rPr>
        <w:t>(код за ЄДРПОУ 33932816, далі – Товариство)</w:t>
      </w:r>
    </w:p>
    <w:p>
      <w:pPr>
        <w:widowControl w:val="0"/>
        <w:spacing w:lineRule="auto" w:line="240" w:after="0" w:beforeAutospacing="0" w:afterAutospacing="0"/>
        <w:jc w:val="center"/>
        <w:rPr>
          <w:rFonts w:ascii="Times New Roman CYR" w:hAnsi="Times New Roman CYR" w:cs="Times New Roman CYR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1. Інформація про збори:</w:t>
      </w:r>
    </w:p>
    <w:tbl>
      <w:tblPr>
        <w:tblStyle w:val="T2"/>
        <w:tblW w:w="9640" w:type="dxa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Дата проведення Загальних зборів:</w:t>
            </w: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31.03.2026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Спосіб проведення Загальних зборів:</w:t>
            </w: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Шляхом електронного голосування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Дата та час початку голосування:</w:t>
            </w: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31.03.2026 10:00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Дата та час завершення голосування:</w:t>
            </w: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31.03.2026 11:00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Перелік акціонерів, які мають право на участь у загальних зборах акціонерного товариства, складено станом на (далі – Перелік):</w:t>
            </w:r>
          </w:p>
        </w:tc>
        <w:tc>
          <w:tcPr>
            <w:tcW w:w="4642" w:type="dxa"/>
            <w:vAlign w:val="bottom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26.03.2026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Загальна кількість осіб, включених до переліку акціонерів, які мають право на участь у загальних зборах:</w:t>
            </w:r>
          </w:p>
        </w:tc>
        <w:tc>
          <w:tcPr>
            <w:tcW w:w="4642" w:type="dxa"/>
            <w:vAlign w:val="bottom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3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Загальна кількість голосів акціонерів – власників голосуючих акцій товариства:</w:t>
            </w:r>
          </w:p>
        </w:tc>
        <w:tc>
          <w:tcPr>
            <w:tcW w:w="4642" w:type="dxa"/>
            <w:vAlign w:val="bottom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62171766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Загальна кількість голосів акціонерів - власників голосуючих акцій товариства, які зареєструвалися для участі у Загальних зборах:</w:t>
            </w:r>
          </w:p>
        </w:tc>
        <w:tc>
          <w:tcPr>
            <w:tcW w:w="4642" w:type="dxa"/>
            <w:vAlign w:val="bottom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62171766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Кворум загальних зборів:</w:t>
            </w: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 xml:space="preserve">Наявний - для участі у зборах зареєструвались акціонери, які сукупно є власниками 62171766 шт. голосуючих акцій Товариства, що становить  100,00% голосуючих акцій.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Головуючий Загальних зборів</w:t>
            </w: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Догарєва Валентина Миколаївна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Секретар Загальних зборів</w:t>
            </w: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Козак Максим Олександрович</w:t>
            </w:r>
          </w:p>
        </w:tc>
      </w:tr>
      <w:tr>
        <w:tc>
          <w:tcPr>
            <w:tcW w:w="4998" w:type="dxa"/>
          </w:tcPr>
          <w:p>
            <w:pPr>
              <w:tabs>
                <w:tab w:val="left" w:pos="900" w:leader="none"/>
              </w:tabs>
              <w:spacing w:before="240" w:beforeAutospacing="0" w:afterAutospacing="0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Особи, уповноважені взаємодіяти з Авторизованою електронною системою:</w:t>
            </w:r>
          </w:p>
        </w:tc>
        <w:tc>
          <w:tcPr>
            <w:tcW w:w="4642" w:type="dxa"/>
          </w:tcPr>
          <w:p>
            <w:pPr>
              <w:tabs>
                <w:tab w:val="left" w:pos="900" w:leader="none"/>
              </w:tabs>
              <w:jc w:val="both"/>
              <w:rPr>
                <w:rFonts w:ascii="Times New Roman" w:hAnsi="Times New Roman" w:cs="Times New Roman"/>
                <w:sz w:val="12"/>
                <w:szCs w:val="12"/>
                <w:lang w:val="ru-RU"/>
              </w:rPr>
            </w:pPr>
          </w:p>
          <w:p>
            <w:pPr>
              <w:tabs>
                <w:tab w:val="left" w:pos="900" w:leader="none"/>
              </w:tabs>
              <w:spacing w:before="40" w:beforeAutospacing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 Догарєва Валентина Миколаївна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>
            <w:pPr>
              <w:tabs>
                <w:tab w:val="left" w:pos="900" w:leader="none"/>
              </w:tabs>
              <w:spacing w:before="40" w:beforeAutospacing="0" w:afterAutospacing="0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 Козак Максим Олександрович </w:t>
            </w: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befor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ru-RU"/>
        </w:rPr>
        <w:t>Порядок денний загальних зборів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1.Прийняття рішення про призначення суб’єкта аудиторської діяльності. 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 xml:space="preserve"> </w:t>
      </w: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b w:val="1"/>
          <w:bCs w:val="1"/>
          <w:sz w:val="24"/>
          <w:szCs w:val="24"/>
          <w:lang w:eastAsia="ru-RU"/>
        </w:rPr>
        <w:t>Підсумки голосування із зазначенням результатів голосування з кожного питання порядку денного зборів та рішення, прийняті загальними зборами.</w:t>
      </w:r>
    </w:p>
    <w:p>
      <w:pPr>
        <w:tabs>
          <w:tab w:val="left" w:pos="851" w:leader="none"/>
        </w:tabs>
        <w:spacing w:lineRule="auto" w:line="240" w:before="40" w:after="40" w:beforeAutospacing="0" w:afterAutospacing="0"/>
        <w:ind w:firstLine="568" w:left="-284"/>
        <w:contextualSpacing w:val="1"/>
        <w:jc w:val="both"/>
        <w:rPr>
          <w:rFonts w:ascii="Times New Roman" w:hAnsi="Times New Roman" w:cs="Times New Roman" w:eastAsia="Times New Roman"/>
          <w:sz w:val="24"/>
          <w:szCs w:val="24"/>
          <w:lang w:val="ru-RU" w:eastAsia="ru-RU"/>
        </w:rPr>
      </w:pP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Питання, винесене на голосування:</w:t>
      </w:r>
    </w:p>
    <w:p>
      <w:pPr>
        <w:widowControl w:val="0"/>
        <w:spacing w:before="240" w:beforeAutospacing="0" w:afterAutospacing="0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Прийняття рішення про призначення суб’єкта аудиторської діяльності. </w:t>
      </w:r>
    </w:p>
    <w:p>
      <w:pPr>
        <w:widowControl w:val="0"/>
        <w:spacing w:before="240" w:beforeAutospacing="0" w:afterAutospacing="0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>Правило прийняття рішення: Більшістю голосів (від зареєструвавшихся)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Проект рішення </w:t>
      </w:r>
      <w:r>
        <w:rPr>
          <w:rFonts w:cs="Times New Roman" w:eastAsia="Times New Roman"/>
          <w:b w:val="1"/>
          <w:i w:val="1"/>
          <w:bCs w:val="1"/>
          <w:iCs w:val="1"/>
          <w:lang w:val="en-US"/>
        </w:rPr>
        <w:t>1</w:t>
      </w:r>
      <w:r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Призначити аудиторську фірму – ТОВАРИСТВО З ОБМЕЖЕНОЮ ВІДПОВІДАЛЬНІСТЮ «АКЦЕНТ-АУДИТ» (ідентифікаційний код юридичної особи 40670410), реєстровий номер у Реєстрі аудиторів та суб'єктів аудиторської діяльності № 4676, суб’єктом аудиторської діяльності для проведення обов’язкового аудиту річної фінансової звітності за 2025 рік.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 62171766 голосів, що становить 100,00%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0 голосів, що становить 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зареєструвалися і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брали участі у голосуванні – 0 голосів.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Рішення прийнято.</w:t>
      </w: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Проект рішення </w:t>
      </w:r>
      <w:r>
        <w:rPr>
          <w:rFonts w:cs="Times New Roman" w:eastAsia="Times New Roman"/>
          <w:b w:val="1"/>
          <w:i w:val="1"/>
          <w:bCs w:val="1"/>
          <w:iCs w:val="1"/>
          <w:lang w:val="en-US"/>
        </w:rPr>
        <w:t>2</w:t>
      </w:r>
      <w:r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Призначити аудиторську фірму – АУДІТОРСЬКО-КОНСАЛТІНГОВАФІРМА «ГРАНТЬЕ» У ВИГЛЯДІ ТОВАРИСТВА З ОБМЕЖЕНОЮ ВІДПОВІДАЛЬНІСТЮ (ідентифікаційний код юридичної особи 21026423), реєстровий номер у Реєстрі аудиторів та суб'єктів аудиторськоїдіяльності № 4220, суб’єктом аудиторської діяльності для проведення обов’язкового аудиту річної фінансової звітності за 2025 рік.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 0 голосів, що становить 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62171766 голосів, що становить 100,00%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зареєструвалися і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брали участі у голосуванні – 0 голосів.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Рішення не прийнято.</w:t>
      </w: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>
      <w:pPr>
        <w:ind w:left="-142"/>
        <w:rPr>
          <w:rFonts w:ascii="Times New Roman" w:hAnsi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 xml:space="preserve">Проект рішення </w:t>
      </w:r>
      <w:r>
        <w:rPr>
          <w:rFonts w:cs="Times New Roman" w:eastAsia="Times New Roman"/>
          <w:b w:val="1"/>
          <w:i w:val="1"/>
          <w:bCs w:val="1"/>
          <w:iCs w:val="1"/>
          <w:lang w:val="en-US"/>
        </w:rPr>
        <w:t>3</w:t>
      </w:r>
      <w:r>
        <w:rPr>
          <w:rFonts w:ascii="Times New Roman" w:hAnsi="Times New Roman" w:cs="Times New Roman"/>
          <w:b w:val="1"/>
          <w:bCs w:val="1"/>
          <w:sz w:val="24"/>
          <w:szCs w:val="24"/>
        </w:rPr>
        <w:t>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Призначити аудиторську фірму – АУДИТОРСЬКО-КОНСАЛТИНГОВЕПРИВАТНЕ ПІДПРИЄМСТВО «АВІСТА» (ідентифікаційний код юридичної особи 25418670), реєстровий номер у Реєстрі аудиторів та суб'єктів аудиторської діяльності № 2196, суб’єктом аудиторської діяльності для проведення обов’язкового аудиту річної фінансової звітності за 2025 рік.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Підсумки голосування: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"ЗА" -  0 голосів, що становить 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"ПРОТИ" – 62171766 голосів, що становить 100,00% кількості голосів акціонерів, які зареєструвалися для участі у загальних зборах та є власниками голосуючих з цього питання простих іменних акцій.</w:t>
      </w:r>
    </w:p>
    <w:p>
      <w:pPr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Кількість голосів акціонерів, які зареєструвалися і</w:t>
      </w:r>
      <w:r>
        <w:rPr>
          <w:rFonts w:ascii="Times New Roman" w:hAnsi="Times New Roman" w:cs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брали участі у голосуванні – 0 голосів.</w:t>
      </w:r>
    </w:p>
    <w:p>
      <w:pPr>
        <w:spacing w:after="80" w:beforeAutospacing="0" w:afterAutospacing="0"/>
        <w:ind w:left="-142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 w:val="1"/>
          <w:bCs w:val="1"/>
          <w:sz w:val="24"/>
          <w:szCs w:val="24"/>
        </w:rPr>
        <w:t>Рішення не прийнято.</w:t>
      </w:r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 </w:t>
      </w:r>
    </w:p>
    <w:p>
      <w:pPr>
        <w:spacing w:after="40" w:beforeAutospacing="0" w:afterAutospacing="0"/>
        <w:ind w:left="-142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42853532"/>
      <w:r>
        <w:rPr>
          <w:rFonts w:ascii="Times New Roman" w:hAnsi="Times New Roman" w:cs="Times New Roman"/>
          <w:b w:val="1"/>
          <w:bCs w:val="1"/>
          <w:sz w:val="24"/>
          <w:szCs w:val="24"/>
          <w:lang w:val="en-US"/>
        </w:rPr>
        <w:t xml:space="preserve">Вирішили:  </w:t>
      </w:r>
      <w:r>
        <w:rPr>
          <w:rFonts w:ascii="Times New Roman" w:hAnsi="Times New Roman" w:cs="Times New Roman"/>
          <w:sz w:val="24"/>
          <w:szCs w:val="24"/>
        </w:rPr>
        <w:t>Призначити аудиторську фірму – ТОВАРИСТВО З ОБМЕЖЕНОЮ ВІДПОВІДАЛЬНІСТЮ «АКЦЕНТ-АУДИТ» (ідентифікаційний код юридичної особи 40670410), реєстровий номер у Реєстрі аудиторів та суб'єктів аудиторської діяльності № 4676, суб’єктом аудиторської діяльності для проведення обов’язкового аудиту річної фінансової звітності за 2025 рік.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>
      <w:pPr>
        <w:spacing w:after="0" w:beforeAutospacing="0" w:afterAutospacing="0"/>
        <w:ind w:left="-142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 w:eastAsia="Times New Roman"/>
          <w:sz w:val="16"/>
          <w:szCs w:val="16"/>
          <w:lang w:val="en-US" w:eastAsia="ru-RU"/>
        </w:rPr>
        <w:t xml:space="preserve"> </w:t>
      </w:r>
      <w:r>
        <w:rPr>
          <w:rFonts w:ascii="Times New Roman" w:hAnsi="Times New Roman" w:cs="Times New Roman" w:eastAsia="Times New Roman"/>
          <w:sz w:val="16"/>
          <w:szCs w:val="16"/>
          <w:lang w:eastAsia="ru-RU"/>
        </w:rPr>
        <w:t xml:space="preserve"> </w:t>
      </w:r>
    </w:p>
    <w:p>
      <w:pPr>
        <w:spacing w:lineRule="auto" w:line="256" w:beforeAutospacing="0" w:afterAutospacing="0"/>
        <w:ind w:left="-142"/>
        <w:rPr>
          <w:rFonts w:ascii="Times New Roman" w:hAnsi="Times New Roman" w:cs="Times New Roman" w:eastAsia="Times New Roman"/>
          <w:sz w:val="24"/>
          <w:szCs w:val="24"/>
          <w:lang w:val="en-US" w:eastAsia="ru-RU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9639" w:type="dxa"/>
          </w:tcPr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bookmarkStart w:id="1" w:name="_Hlk133252576" w:colFirst="0" w:colLast="0"/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Цей документ засвідчено електронною печаткою Центрального депозитарію цінних паперів.</w:t>
            </w:r>
          </w:p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  <w:p>
            <w:pPr>
              <w:tabs>
                <w:tab w:val="left" w:pos="851" w:leader="none"/>
              </w:tabs>
              <w:spacing w:before="40" w:after="40" w:beforeAutospacing="0" w:afterAutospacing="0"/>
              <w:contextualSpacing w:val="1"/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Цей Протокол загальних зборів акціонерів складено в дату і час його підписання головуючим і секретарем Загальних зборів. Інформація про дату та час підписання Протоколу загальних зборів акціонерів шляхом накладення електронного підпису розкривається при перевірці електронного підпису.</w:t>
            </w: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  <w:bookmarkEnd w:id="1"/>
    </w:p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tbl>
      <w:tblPr>
        <w:tblStyle w:val="T2"/>
        <w:tblW w:w="0" w:type="auto"/>
        <w:tblInd w:w="-284" w:type="dxa"/>
        <w:tblBorders>
          <w:top w:val="none" w:sz="0" w:space="0" w:shadow="0" w:frame="0" w:color="auto"/>
          <w:left w:val="none" w:sz="0" w:space="0" w:shadow="0" w:frame="0" w:color="auto"/>
          <w:bottom w:val="none" w:sz="0" w:space="0" w:shadow="0" w:frame="0" w:color="auto"/>
          <w:right w:val="none" w:sz="0" w:space="0" w:shadow="0" w:frame="0" w:color="auto"/>
          <w:insideH w:val="none" w:sz="0" w:space="0" w:shadow="0" w:frame="0" w:color="auto"/>
          <w:insideV w:val="none" w:sz="0" w:space="0" w:shadow="0" w:frame="0" w:color="auto"/>
        </w:tblBorders>
        <w:tblLook w:val="04A0"/>
      </w:tblPr>
      <w:tblGrid/>
      <w:tr>
        <w:tc>
          <w:tcPr>
            <w:tcW w:w="3403" w:type="dxa"/>
          </w:tcPr>
          <w:p>
            <w:pPr>
              <w:tabs>
                <w:tab w:val="left" w:pos="900" w:leader="none"/>
              </w:tabs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>
            <w:pPr>
              <w:tabs>
                <w:tab w:val="left" w:pos="900" w:leader="none"/>
              </w:tabs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>
            <w:pPr>
              <w:tabs>
                <w:tab w:val="left" w:pos="900" w:leader="none"/>
              </w:tabs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</w:tr>
      <w:tr>
        <w:tc>
          <w:tcPr>
            <w:tcW w:w="3403" w:type="dxa"/>
          </w:tcPr>
          <w:p>
            <w:pPr>
              <w:tabs>
                <w:tab w:val="left" w:pos="900" w:leader="none"/>
              </w:tabs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Головуючий Загальних зборів</w:t>
            </w:r>
          </w:p>
        </w:tc>
        <w:tc>
          <w:tcPr>
            <w:tcW w:w="2827" w:type="dxa"/>
          </w:tcPr>
          <w:p>
            <w:pPr>
              <w:tabs>
                <w:tab w:val="left" w:pos="900" w:leader="none"/>
              </w:tabs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>
            <w:pPr>
              <w:tabs>
                <w:tab w:val="left" w:pos="900" w:leader="none"/>
              </w:tabs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Догарєва Валентина Миколаївна</w:t>
            </w:r>
          </w:p>
        </w:tc>
      </w:tr>
      <w:tr>
        <w:tc>
          <w:tcPr>
            <w:tcW w:w="3403" w:type="dxa"/>
          </w:tcPr>
          <w:p>
            <w:pPr>
              <w:tabs>
                <w:tab w:val="left" w:pos="900" w:leader="none"/>
              </w:tabs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>
            <w:pPr>
              <w:tabs>
                <w:tab w:val="left" w:pos="900" w:leader="none"/>
              </w:tabs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>
            <w:pPr>
              <w:tabs>
                <w:tab w:val="left" w:pos="900" w:leader="none"/>
              </w:tabs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</w:p>
          <w:p>
            <w:pPr>
              <w:tabs>
                <w:tab w:val="left" w:pos="900" w:leader="none"/>
              </w:tabs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>
        <w:tc>
          <w:tcPr>
            <w:tcW w:w="3403" w:type="dxa"/>
          </w:tcPr>
          <w:p>
            <w:pPr>
              <w:tabs>
                <w:tab w:val="left" w:pos="900" w:leader="none"/>
              </w:tabs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Секретар Загальних зборів</w:t>
            </w:r>
          </w:p>
        </w:tc>
        <w:tc>
          <w:tcPr>
            <w:tcW w:w="2827" w:type="dxa"/>
          </w:tcPr>
          <w:p>
            <w:pPr>
              <w:tabs>
                <w:tab w:val="left" w:pos="900" w:leader="none"/>
              </w:tabs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115" w:type="dxa"/>
          </w:tcPr>
          <w:p>
            <w:pPr>
              <w:tabs>
                <w:tab w:val="left" w:pos="900" w:leader="none"/>
              </w:tabs>
              <w:rPr>
                <w:rFonts w:ascii="Times New Roman" w:hAnsi="Times New Roman" w:cs="Times New Roman" w:eastAsia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  <w:t>Козак Максим Олександрович</w:t>
            </w:r>
          </w:p>
        </w:tc>
      </w:tr>
      <w:tr>
        <w:tc>
          <w:tcPr>
            <w:tcW w:w="3403" w:type="dxa"/>
          </w:tcPr>
          <w:p>
            <w:pPr>
              <w:tabs>
                <w:tab w:val="left" w:pos="900" w:leader="none"/>
              </w:tabs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27" w:type="dxa"/>
          </w:tcPr>
          <w:p>
            <w:pPr>
              <w:tabs>
                <w:tab w:val="left" w:pos="900" w:leader="none"/>
              </w:tabs>
              <w:jc w:val="center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>
            <w:pPr>
              <w:tabs>
                <w:tab w:val="left" w:pos="900" w:leader="none"/>
              </w:tabs>
              <w:jc w:val="both"/>
              <w:rPr>
                <w:rFonts w:ascii="Times New Roman" w:hAnsi="Times New Roman" w:cs="Times New Roman" w:eastAsia="Times New Roman"/>
                <w:sz w:val="24"/>
                <w:szCs w:val="24"/>
                <w:lang w:eastAsia="ru-RU"/>
              </w:rPr>
            </w:pPr>
          </w:p>
        </w:tc>
      </w:tr>
    </w:tbl>
    <w:p>
      <w:pPr>
        <w:tabs>
          <w:tab w:val="left" w:pos="900" w:leader="none"/>
        </w:tabs>
        <w:spacing w:lineRule="auto" w:line="240" w:after="0" w:beforeAutospacing="0" w:afterAutospacing="0"/>
        <w:ind w:left="-284"/>
        <w:jc w:val="both"/>
        <w:rPr>
          <w:rFonts w:ascii="Times New Roman" w:hAnsi="Times New Roman" w:cs="Times New Roman" w:eastAsia="Times New Roman"/>
          <w:sz w:val="24"/>
          <w:szCs w:val="24"/>
          <w:lang w:eastAsia="ru-RU"/>
        </w:rPr>
      </w:pPr>
    </w:p>
    <w:p>
      <w:pPr>
        <w:rPr>
          <w:lang w:val="en-US"/>
        </w:rPr>
      </w:pPr>
    </w:p>
    <w:sectPr>
      <w:footnotePr/>
      <w:endnotePr/>
      <w:type w:val="nextPage"/>
      <w:pgSz w:w="11906" w:h="16838" w:code="0"/>
      <w:pgMar w:left="1701" w:right="850" w:top="1134" w:bottom="1134" w:header="708" w:footer="708" w:gutter="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pPr>
        <w:spacing w:lineRule="auto" w:line="240" w:after="0" w:beforeAutospacing="0" w:afterAutospacing="0"/>
      </w:pPr>
      <w:r>
        <w:separator/>
      </w:r>
    </w:p>
  </w:endnote>
  <w:endnote w:type="continuationSeparator" w:id="0">
    <w:p>
      <w:pPr>
        <w:spacing w:lineRule="auto" w:line="240" w:after="0" w:beforeAutospacing="0" w:afterAutospacing="0"/>
      </w:pPr>
      <w:r>
        <w:continuationSeparator/>
      </w:r>
    </w:p>
  </w:endnote>
  <w:endnote w:type="continuationNotice" w:id="1">
    <w:p>
      <w:pPr>
        <w:spacing w:lineRule="auto" w:line="240" w:after="0" w:beforeAutospacing="0" w:afterAutospacing="0"/>
      </w:pPr>
    </w:p>
  </w:endnote>
</w:endnotes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pPr>
        <w:spacing w:lineRule="auto" w:line="240" w:after="0" w:beforeAutospacing="0" w:afterAutospacing="0"/>
      </w:pPr>
      <w:r>
        <w:separator/>
      </w:r>
    </w:p>
  </w:footnote>
  <w:footnote w:type="continuationSeparator" w:id="0">
    <w:p>
      <w:pPr>
        <w:spacing w:lineRule="auto" w:line="240" w:after="0" w:beforeAutospacing="0" w:afterAutospacing="0"/>
      </w:pPr>
      <w:r>
        <w:continuationSeparator/>
      </w:r>
    </w:p>
  </w:footnote>
  <w:footnote w:type="continuationNotice" w:id="1">
    <w:p>
      <w:pPr>
        <w:spacing w:lineRule="auto" w:line="240" w:after="0" w:beforeAutospacing="0" w:afterAutospacing="0"/>
      </w:pPr>
    </w:p>
  </w:footnote>
</w:footnotes>
</file>

<file path=word/numbering.xml><?xml version="1.0" encoding="utf-8"?>
<w:numbering xmlns:w="http://schemas.openxmlformats.org/wordprocessingml/2006/main">
  <w:abstractNum w:abstractNumId="0">
    <w:nsid w:val="2582162E"/>
    <w:multiLevelType w:val="hybridMultilevel"/>
    <w:lvl w:ilvl="0" w:tplc="EF7E6E24">
      <w:start w:val="1"/>
      <w:numFmt w:val="decimal"/>
      <w:suff w:val="tab"/>
      <w:lvlText w:val="%1."/>
      <w:lvlJc w:val="left"/>
      <w:pPr>
        <w:ind w:hanging="360" w:left="76"/>
      </w:pPr>
      <w:rPr>
        <w:rFonts w:hint="default"/>
      </w:rPr>
    </w:lvl>
    <w:lvl w:ilvl="1" w:tplc="04220019">
      <w:start w:val="1"/>
      <w:numFmt w:val="lowerLetter"/>
      <w:suff w:val="tab"/>
      <w:lvlText w:val="%2."/>
      <w:lvlJc w:val="left"/>
      <w:pPr>
        <w:ind w:hanging="360" w:left="796"/>
      </w:pPr>
      <w:rPr/>
    </w:lvl>
    <w:lvl w:ilvl="2" w:tplc="0422001B">
      <w:start w:val="1"/>
      <w:numFmt w:val="lowerRoman"/>
      <w:suff w:val="tab"/>
      <w:lvlText w:val="%3."/>
      <w:lvlJc w:val="right"/>
      <w:pPr>
        <w:ind w:hanging="180" w:left="1516"/>
      </w:pPr>
      <w:rPr/>
    </w:lvl>
    <w:lvl w:ilvl="3" w:tplc="0422000F">
      <w:start w:val="1"/>
      <w:numFmt w:val="decimal"/>
      <w:suff w:val="tab"/>
      <w:lvlText w:val="%4."/>
      <w:lvlJc w:val="left"/>
      <w:pPr>
        <w:ind w:hanging="360" w:left="2236"/>
      </w:pPr>
      <w:rPr/>
    </w:lvl>
    <w:lvl w:ilvl="4" w:tplc="04220019">
      <w:start w:val="1"/>
      <w:numFmt w:val="lowerLetter"/>
      <w:suff w:val="tab"/>
      <w:lvlText w:val="%5."/>
      <w:lvlJc w:val="left"/>
      <w:pPr>
        <w:ind w:hanging="360" w:left="2956"/>
      </w:pPr>
      <w:rPr/>
    </w:lvl>
    <w:lvl w:ilvl="5" w:tplc="0422001B">
      <w:start w:val="1"/>
      <w:numFmt w:val="lowerRoman"/>
      <w:suff w:val="tab"/>
      <w:lvlText w:val="%6."/>
      <w:lvlJc w:val="right"/>
      <w:pPr>
        <w:ind w:hanging="180" w:left="3676"/>
      </w:pPr>
      <w:rPr/>
    </w:lvl>
    <w:lvl w:ilvl="6" w:tplc="0422000F">
      <w:start w:val="1"/>
      <w:numFmt w:val="decimal"/>
      <w:suff w:val="tab"/>
      <w:lvlText w:val="%7."/>
      <w:lvlJc w:val="left"/>
      <w:pPr>
        <w:ind w:hanging="360" w:left="4396"/>
      </w:pPr>
      <w:rPr/>
    </w:lvl>
    <w:lvl w:ilvl="7" w:tplc="04220019">
      <w:start w:val="1"/>
      <w:numFmt w:val="lowerLetter"/>
      <w:suff w:val="tab"/>
      <w:lvlText w:val="%8."/>
      <w:lvlJc w:val="left"/>
      <w:pPr>
        <w:ind w:hanging="360" w:left="5116"/>
      </w:pPr>
      <w:rPr/>
    </w:lvl>
    <w:lvl w:ilvl="8" w:tplc="0422001B">
      <w:start w:val="1"/>
      <w:numFmt w:val="lowerRoman"/>
      <w:suff w:val="tab"/>
      <w:lvlText w:val="%9."/>
      <w:lvlJc w:val="right"/>
      <w:pPr>
        <w:ind w:hanging="180" w:left="5836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hyphenationZone w:val="425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  <w:footnote w:id="1"/>
  </w:footnotePr>
  <w:endnotePr>
    <w:endnote w:id="-1"/>
    <w:endnote w:id="0"/>
    <w:endnote w:id="1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uk-UA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paragraph" w:styleId="P1">
    <w:name w:val="List Paragraph"/>
    <w:basedOn w:val="P0"/>
    <w:qFormat/>
    <w:pPr>
      <w:ind w:left="720"/>
      <w:contextualSpacing w:val="1"/>
    </w:pPr>
    <w:rPr/>
  </w:style>
  <w:style w:type="paragraph" w:styleId="P2">
    <w:name w:val="Footnote Text"/>
    <w:basedOn w:val="P0"/>
    <w:link w:val="C3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3">
    <w:name w:val="annotation text"/>
    <w:basedOn w:val="P0"/>
    <w:link w:val="C5"/>
    <w:semiHidden/>
    <w:pPr>
      <w:spacing w:lineRule="auto" w:line="240" w:beforeAutospacing="0" w:afterAutospacing="0"/>
    </w:pPr>
    <w:rPr>
      <w:sz w:val="20"/>
      <w:szCs w:val="20"/>
    </w:rPr>
  </w:style>
  <w:style w:type="paragraph" w:styleId="P4">
    <w:name w:val="Header"/>
    <w:basedOn w:val="P0"/>
    <w:link w:val="C7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5">
    <w:name w:val="Footer"/>
    <w:basedOn w:val="P0"/>
    <w:link w:val="C8"/>
    <w:semiHidden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6">
    <w:name w:val="HTML Preformatted"/>
    <w:basedOn w:val="P0"/>
    <w:link w:val="C9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after="0" w:beforeAutospacing="0" w:afterAutospacing="0"/>
    </w:pPr>
    <w:rPr>
      <w:rFonts w:ascii="Courier New" w:hAnsi="Courier New" w:cs="Courier New" w:eastAsia="Times New Roman"/>
      <w:sz w:val="20"/>
      <w:szCs w:val="20"/>
      <w:lang w:eastAsia="uk-UA"/>
    </w:rPr>
  </w:style>
  <w:style w:type="paragraph" w:styleId="P7">
    <w:name w:val="Endnote Text"/>
    <w:link w:val="C12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иноски Знак"/>
    <w:basedOn w:val="C0"/>
    <w:link w:val="P2"/>
    <w:semiHidden/>
    <w:rPr>
      <w:sz w:val="20"/>
      <w:szCs w:val="20"/>
    </w:rPr>
  </w:style>
  <w:style w:type="character" w:styleId="C4">
    <w:name w:val="Footnote Reference"/>
    <w:basedOn w:val="C0"/>
    <w:semiHidden/>
    <w:rPr>
      <w:vertAlign w:val="superscript"/>
    </w:rPr>
  </w:style>
  <w:style w:type="character" w:styleId="C5">
    <w:name w:val="Текст примітки Знак"/>
    <w:basedOn w:val="C0"/>
    <w:link w:val="P3"/>
    <w:semiHidden/>
    <w:rPr>
      <w:sz w:val="20"/>
      <w:szCs w:val="20"/>
    </w:rPr>
  </w:style>
  <w:style w:type="character" w:styleId="C6">
    <w:name w:val="annotation reference"/>
    <w:basedOn w:val="C0"/>
    <w:semiHidden/>
    <w:rPr>
      <w:sz w:val="16"/>
      <w:szCs w:val="16"/>
    </w:rPr>
  </w:style>
  <w:style w:type="character" w:styleId="C7">
    <w:name w:val="Верхній колонтитул Знак"/>
    <w:basedOn w:val="C0"/>
    <w:link w:val="P4"/>
    <w:semiHidden/>
    <w:rPr/>
  </w:style>
  <w:style w:type="character" w:styleId="C8">
    <w:name w:val="Нижній колонтитул Знак"/>
    <w:basedOn w:val="C0"/>
    <w:link w:val="P5"/>
    <w:semiHidden/>
    <w:rPr/>
  </w:style>
  <w:style w:type="character" w:styleId="C9">
    <w:name w:val="Стандартний HTML Знак"/>
    <w:basedOn w:val="C0"/>
    <w:link w:val="P6"/>
    <w:rPr>
      <w:rFonts w:ascii="Courier New" w:hAnsi="Courier New" w:cs="Courier New" w:eastAsia="Times New Roman"/>
      <w:sz w:val="20"/>
      <w:szCs w:val="20"/>
      <w:lang w:eastAsia="uk-UA"/>
    </w:rPr>
  </w:style>
  <w:style w:type="character" w:styleId="C10">
    <w:name w:val="Footnote Text Char"/>
    <w:semiHidden/>
    <w:rPr>
      <w:sz w:val="20"/>
      <w:szCs w:val="20"/>
    </w:rPr>
  </w:style>
  <w:style w:type="character" w:styleId="C11">
    <w:name w:val="Endnote Reference"/>
    <w:semiHidden/>
    <w:rPr>
      <w:vertAlign w:val="superscript"/>
    </w:rPr>
  </w:style>
  <w:style w:type="character" w:styleId="C12">
    <w:name w:val="Endnote Text Char"/>
    <w:link w:val="P7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3">
    <w:name w:val="Table Grid1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4">
    <w:name w:val="Table Grid2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table" w:styleId="T5">
    <w:name w:val="Table Grid3"/>
    <w:basedOn w:val="T0"/>
    <w:pPr>
      <w:spacing w:lineRule="auto" w:line="240" w:after="0" w:beforeAutospacing="0" w:afterAutospacing="0"/>
    </w:pPr>
    <w:rPr>
      <w:rFonts w:ascii="Calibri" w:hAnsi="Calibri" w:cs="Times New Roman" w:eastAsia="Calibri"/>
    </w:r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Relationship Id="RelItem1" Type="http://schemas.openxmlformats.org/officeDocument/2006/relationships/customXml" Target="../customXml/item1.xml" /><Relationship Id="RelItem2" Type="http://schemas.openxmlformats.org/officeDocument/2006/relationships/customXml" Target="../customXml/item2.xml" /><Relationship Id="RelItem3" Type="http://schemas.openxmlformats.org/officeDocument/2006/relationships/customXml" Target="../customXml/item3.xml" /></Relationships>
</file>

<file path=word/_rels/endnotes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2BBC60D5A1EA4D93AC0861CD7E5B14" ma:contentTypeVersion="5" ma:contentTypeDescription="Створення нового документа." ma:contentTypeScope="" ma:versionID="1c00ad86b2673ba1245e974e895759a5">
  <xsd:schema xmlns:xsd="http://www.w3.org/2001/XMLSchema" xmlns:xs="http://www.w3.org/2001/XMLSchema" xmlns:p="http://schemas.microsoft.com/office/2006/metadata/properties" xmlns:ns2="98b98d37-ebbb-4a39-ab84-b1238f807dc3" xmlns:ns3="76bfb5bb-1604-4d72-9843-8830db66fd49" targetNamespace="http://schemas.microsoft.com/office/2006/metadata/properties" ma:root="true" ma:fieldsID="15d51a2461185126bbf249cff44bf723" ns2:_="" ns3:_="">
    <xsd:import namespace="98b98d37-ebbb-4a39-ab84-b1238f807dc3"/>
    <xsd:import namespace="76bfb5bb-1604-4d72-9843-8830db66fd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98d37-ebbb-4a39-ab84-b1238f807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b5bb-1604-4d72-9843-8830db66fd4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851cb8-ed4b-441a-af32-8df3b3b852be}">
  <ds:schemaRefs>
    <ds:schemaRef ds:uri="http://schemas.microsoft.com/vsto/samples"/>
  </ds:schemaRefs>
</ds:datastoreItem>
</file>

<file path=customXml/itemProps2.xml><?xml version="1.0" encoding="utf-8"?>
<ds:datastoreItem xmlns:ds="http://schemas.openxmlformats.org/officeDocument/2006/customXml" ds:itemID="{6a00d05b-b187-4d24-9829-1deceb1abaa6}">
  <ds:schemaRefs>
    <ds:schemaRef ds:uri="http://schemas.microsoft.com/vsto/samples"/>
  </ds:schemaRefs>
</ds:datastoreItem>
</file>

<file path=customXml/itemProps3.xml><?xml version="1.0" encoding="utf-8"?>
<ds:datastoreItem xmlns:ds="http://schemas.openxmlformats.org/officeDocument/2006/customXml" ds:itemID="{c8c2c19c-41ce-4f6a-bd0a-767b623e9bfc}">
  <ds:schemaRefs>
    <ds:schemaRef ds:uri="http://schemas.microsoft.com/vsto/samples"/>
  </ds:schemaRefs>
</ds:datastoreItem>
</file>

<file path=docProps/app.xml><?xml version="1.0" encoding="utf-8"?>
<Properties xmlns="http://schemas.openxmlformats.org/officeDocument/2006/extended-properties">
  <Application>DevExpress Office File API/22.2.3.0</Application>
  <AppVersion>22.2</AppVersion>
  <Template>Normal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Дмитро Панчугін</dc:creator>
  <dcterms:created xsi:type="dcterms:W3CDTF">2023-08-14T16:42:00Z</dcterms:created>
  <dcterms:modified xsi:type="dcterms:W3CDTF">2026-03-31T08:28:56Z</dcterms:modified>
  <cp:revision>77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0x010100A32BBC60D5A1EA4D93AC0861CD7E5B14</vt:lpwstr>
  </property>
</Properties>
</file>